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4" w:rsidRDefault="00E46A74"/>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765DC" w:rsidP="001765DC">
            <w:pPr>
              <w:rPr>
                <w:b/>
              </w:rPr>
            </w:pPr>
            <w:r>
              <w:rPr>
                <w:rStyle w:val="Firstpagetablebold"/>
              </w:rPr>
              <w:t xml:space="preserve">22 May </w:t>
            </w:r>
            <w:r w:rsidR="004D2DBD">
              <w:rPr>
                <w:rStyle w:val="Firstpagetablebold"/>
              </w:rPr>
              <w:t>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D2DBD" w:rsidP="004A6D2F">
            <w:pPr>
              <w:rPr>
                <w:rStyle w:val="Firstpagetablebold"/>
              </w:rPr>
            </w:pPr>
            <w:r>
              <w:rPr>
                <w:rStyle w:val="Firstpagetablebold"/>
              </w:rPr>
              <w:t>Extension of Loan to Low Carbon Hub IPS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1765DC">
            <w:r w:rsidRPr="00D56D5C">
              <w:t xml:space="preserve">To </w:t>
            </w:r>
            <w:r w:rsidR="001765DC">
              <w:t>request City Executive Board to approve the extension of</w:t>
            </w:r>
            <w:r w:rsidR="00F15990">
              <w:t xml:space="preserve"> a</w:t>
            </w:r>
            <w:r w:rsidR="001765DC">
              <w:t xml:space="preserve"> loan</w:t>
            </w:r>
            <w:r w:rsidR="00F15990">
              <w:t xml:space="preserve"> facility</w:t>
            </w:r>
            <w:r w:rsidR="001765DC">
              <w:t xml:space="preserve"> to Low Carbon Hub</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592EB7">
            <w:r w:rsidRPr="00D71D8D">
              <w:t>Councillor Ed Turner, Finance</w:t>
            </w:r>
            <w:r w:rsidR="00592EB7">
              <w:t xml:space="preserve"> and Corporate </w:t>
            </w:r>
            <w:r w:rsidRPr="00D71D8D">
              <w:t>Asset</w:t>
            </w:r>
            <w:r w:rsidR="00592EB7">
              <w:t xml:space="preserve">s </w:t>
            </w:r>
            <w:r w:rsidRPr="00D71D8D">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D2DBD" w:rsidP="005F7F7E">
            <w:r>
              <w:t>Council’s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3C5845"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w:t>
            </w:r>
            <w:r>
              <w:rPr>
                <w:rStyle w:val="Firstpagetablebold"/>
              </w:rPr>
              <w:t>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30208D" w:rsidP="001765DC"/>
        </w:tc>
      </w:tr>
      <w:tr w:rsidR="0030208D" w:rsidRPr="00D71D8D" w:rsidTr="00A46E98">
        <w:trPr>
          <w:trHeight w:val="283"/>
        </w:trPr>
        <w:tc>
          <w:tcPr>
            <w:tcW w:w="426" w:type="dxa"/>
            <w:tcBorders>
              <w:top w:val="nil"/>
              <w:left w:val="single" w:sz="8" w:space="0" w:color="000000"/>
              <w:bottom w:val="nil"/>
              <w:right w:val="nil"/>
            </w:tcBorders>
          </w:tcPr>
          <w:p w:rsidR="0030208D" w:rsidRDefault="00D71D8D" w:rsidP="00D71D8D">
            <w:bookmarkStart w:id="0" w:name="_GoBack" w:colFirst="0" w:colLast="1"/>
            <w:r w:rsidRPr="00D71D8D">
              <w:t>1</w:t>
            </w:r>
            <w:r w:rsidR="00046D2B" w:rsidRPr="00D71D8D">
              <w:t>.</w:t>
            </w:r>
          </w:p>
          <w:p w:rsidR="003C5845" w:rsidRDefault="003C5845" w:rsidP="00D71D8D"/>
          <w:p w:rsidR="003C5845" w:rsidRDefault="003C5845" w:rsidP="00D71D8D"/>
          <w:p w:rsidR="003C5845" w:rsidRPr="00D71D8D" w:rsidRDefault="003C5845" w:rsidP="00D71D8D">
            <w:r>
              <w:t>2.</w:t>
            </w:r>
          </w:p>
        </w:tc>
        <w:tc>
          <w:tcPr>
            <w:tcW w:w="8419" w:type="dxa"/>
            <w:gridSpan w:val="2"/>
            <w:tcBorders>
              <w:top w:val="nil"/>
              <w:left w:val="nil"/>
              <w:bottom w:val="nil"/>
              <w:right w:val="single" w:sz="8" w:space="0" w:color="000000"/>
            </w:tcBorders>
            <w:shd w:val="clear" w:color="auto" w:fill="auto"/>
          </w:tcPr>
          <w:p w:rsidR="002D0E2D" w:rsidRDefault="003C5845" w:rsidP="001765DC">
            <w:r w:rsidRPr="003C5845">
              <w:rPr>
                <w:b/>
              </w:rPr>
              <w:t>A</w:t>
            </w:r>
            <w:r w:rsidR="005C3914" w:rsidRPr="003C5845">
              <w:rPr>
                <w:b/>
              </w:rPr>
              <w:t>pprove</w:t>
            </w:r>
            <w:r w:rsidR="005C3914">
              <w:t xml:space="preserve"> an extension of the </w:t>
            </w:r>
            <w:r w:rsidR="002D0E2D">
              <w:t xml:space="preserve">availability period of </w:t>
            </w:r>
            <w:r w:rsidR="005C3914">
              <w:t>the Council’s</w:t>
            </w:r>
            <w:r w:rsidR="00083D05">
              <w:t xml:space="preserve"> cu</w:t>
            </w:r>
            <w:r w:rsidR="004D2DBD">
              <w:t>rrent loan agreement</w:t>
            </w:r>
            <w:r w:rsidR="00083D05">
              <w:t xml:space="preserve"> with </w:t>
            </w:r>
            <w:r w:rsidR="002D0E2D">
              <w:t xml:space="preserve">the </w:t>
            </w:r>
            <w:r w:rsidR="00083D05">
              <w:t>Low Carbon Hub</w:t>
            </w:r>
            <w:r w:rsidR="002D0E2D">
              <w:t xml:space="preserve">, so that the remaining £1.3m of </w:t>
            </w:r>
            <w:r w:rsidR="00440CE7">
              <w:t xml:space="preserve">outstanding loans are repayable </w:t>
            </w:r>
            <w:r w:rsidR="002D0E2D">
              <w:t>by the Low Carbon Hub by</w:t>
            </w:r>
            <w:r w:rsidR="001765DC">
              <w:t xml:space="preserve"> 29 </w:t>
            </w:r>
            <w:r w:rsidR="004D2DBD">
              <w:t>March 2019</w:t>
            </w:r>
            <w:r w:rsidR="002D0E2D">
              <w:t xml:space="preserve">, on similar terms </w:t>
            </w:r>
            <w:r w:rsidR="005C3914">
              <w:t>as those applyin</w:t>
            </w:r>
            <w:r>
              <w:t xml:space="preserve">g to the existing loan facility; and </w:t>
            </w:r>
          </w:p>
          <w:p w:rsidR="005C3914" w:rsidRPr="00D71D8D" w:rsidRDefault="005C3914" w:rsidP="003C5845">
            <w:r>
              <w:t xml:space="preserve"> </w:t>
            </w:r>
            <w:r w:rsidR="003C5845" w:rsidRPr="003C5845">
              <w:rPr>
                <w:b/>
              </w:rPr>
              <w:t xml:space="preserve">Agree </w:t>
            </w:r>
            <w:r w:rsidR="003C5845">
              <w:t>t</w:t>
            </w:r>
            <w:r>
              <w:t>hat a supplemental agreement be entered into with the Low Carbon Hub setting out the terms of this loan extension period</w:t>
            </w:r>
          </w:p>
        </w:tc>
      </w:tr>
      <w:bookmarkEnd w:id="0"/>
      <w:tr w:rsidR="00232F5B" w:rsidRPr="00D71D8D" w:rsidTr="00A46E98">
        <w:trPr>
          <w:trHeight w:val="283"/>
        </w:trPr>
        <w:tc>
          <w:tcPr>
            <w:tcW w:w="426" w:type="dxa"/>
            <w:tcBorders>
              <w:top w:val="nil"/>
              <w:left w:val="single" w:sz="8" w:space="0" w:color="000000"/>
              <w:bottom w:val="nil"/>
              <w:right w:val="nil"/>
            </w:tcBorders>
          </w:tcPr>
          <w:p w:rsidR="0030208D" w:rsidRPr="00D71D8D" w:rsidRDefault="0030208D" w:rsidP="004A6D2F"/>
        </w:tc>
        <w:tc>
          <w:tcPr>
            <w:tcW w:w="8419" w:type="dxa"/>
            <w:gridSpan w:val="2"/>
            <w:tcBorders>
              <w:top w:val="nil"/>
              <w:left w:val="nil"/>
              <w:bottom w:val="nil"/>
              <w:right w:val="single" w:sz="8" w:space="0" w:color="000000"/>
            </w:tcBorders>
            <w:shd w:val="clear" w:color="auto" w:fill="auto"/>
          </w:tcPr>
          <w:p w:rsidR="0030208D" w:rsidRPr="00D71D8D" w:rsidRDefault="0030208D" w:rsidP="004D2DBD"/>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30208D" w:rsidP="004A6D2F"/>
        </w:tc>
        <w:tc>
          <w:tcPr>
            <w:tcW w:w="8419" w:type="dxa"/>
            <w:gridSpan w:val="2"/>
            <w:tcBorders>
              <w:top w:val="nil"/>
              <w:left w:val="nil"/>
              <w:bottom w:val="nil"/>
              <w:right w:val="single" w:sz="8" w:space="0" w:color="000000"/>
            </w:tcBorders>
            <w:shd w:val="clear" w:color="auto" w:fill="auto"/>
          </w:tcPr>
          <w:p w:rsidR="0030208D" w:rsidRPr="00D71D8D" w:rsidRDefault="0030208D" w:rsidP="002069B3"/>
        </w:tc>
      </w:tr>
      <w:tr w:rsidR="00232F5B" w:rsidRPr="00D71D8D" w:rsidTr="00440CE7">
        <w:trPr>
          <w:trHeight w:val="78"/>
        </w:trPr>
        <w:tc>
          <w:tcPr>
            <w:tcW w:w="426" w:type="dxa"/>
            <w:tcBorders>
              <w:top w:val="nil"/>
              <w:left w:val="single" w:sz="8" w:space="0" w:color="000000"/>
              <w:bottom w:val="single" w:sz="8" w:space="0" w:color="000000"/>
              <w:right w:val="nil"/>
            </w:tcBorders>
          </w:tcPr>
          <w:p w:rsidR="0030208D" w:rsidRPr="00D71D8D"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D71D8D"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765DC" w:rsidP="004A6D2F">
            <w:r>
              <w:t>Risk Matrix</w:t>
            </w:r>
          </w:p>
        </w:tc>
      </w:tr>
    </w:tbl>
    <w:p w:rsidR="003C5845" w:rsidRDefault="003C5845" w:rsidP="004A6D2F">
      <w:pPr>
        <w:pStyle w:val="Heading1"/>
      </w:pPr>
    </w:p>
    <w:p w:rsidR="003C5845" w:rsidRDefault="003C5845" w:rsidP="004A6D2F">
      <w:pPr>
        <w:pStyle w:val="Heading1"/>
      </w:pPr>
    </w:p>
    <w:p w:rsidR="003C5845" w:rsidRDefault="003C5845" w:rsidP="004A6D2F">
      <w:pPr>
        <w:pStyle w:val="Heading1"/>
      </w:pPr>
    </w:p>
    <w:p w:rsidR="003C5845" w:rsidRDefault="003C5845" w:rsidP="004A6D2F">
      <w:pPr>
        <w:pStyle w:val="Heading1"/>
      </w:pPr>
    </w:p>
    <w:p w:rsidR="0040736F" w:rsidRPr="001356F1" w:rsidRDefault="00087CE7" w:rsidP="004A6D2F">
      <w:pPr>
        <w:pStyle w:val="Heading1"/>
      </w:pPr>
      <w:r>
        <w:t>Background</w:t>
      </w:r>
    </w:p>
    <w:p w:rsidR="00E87F7A" w:rsidRDefault="00087CE7" w:rsidP="005570B5">
      <w:pPr>
        <w:pStyle w:val="ListParagraph"/>
      </w:pPr>
      <w:r>
        <w:t>In June 2014, the City Executive Board approved a</w:t>
      </w:r>
      <w:r w:rsidR="00083D05">
        <w:t xml:space="preserve"> £2.3m</w:t>
      </w:r>
      <w:r>
        <w:t xml:space="preserve"> loan facility </w:t>
      </w:r>
      <w:r w:rsidR="00083D05">
        <w:t xml:space="preserve">to </w:t>
      </w:r>
      <w:r>
        <w:t>the Low Carbon Hub (the Hub) to fund the development stages of renewable energy projects</w:t>
      </w:r>
      <w:r w:rsidR="00083D05">
        <w:t xml:space="preserve"> with </w:t>
      </w:r>
      <w:r>
        <w:t>repayment being facilitated by the Hub raisi</w:t>
      </w:r>
      <w:r w:rsidR="00A01317">
        <w:t xml:space="preserve">ng equity shares in the project. </w:t>
      </w:r>
    </w:p>
    <w:p w:rsidR="00A01317" w:rsidRDefault="00A01317" w:rsidP="00A01317">
      <w:pPr>
        <w:pStyle w:val="ListParagraph"/>
        <w:numPr>
          <w:ilvl w:val="0"/>
          <w:numId w:val="0"/>
        </w:numPr>
        <w:ind w:left="426"/>
      </w:pPr>
    </w:p>
    <w:p w:rsidR="00087CE7" w:rsidRDefault="00087CE7" w:rsidP="005570B5">
      <w:pPr>
        <w:pStyle w:val="ListParagraph"/>
      </w:pPr>
      <w:r>
        <w:t>Authority was delegated to the Council’s Section 151 Officer to enter into a loan agreement with the Hub in consultation with the Monitoring Officer and Chief Executive.</w:t>
      </w:r>
    </w:p>
    <w:p w:rsidR="00A01317" w:rsidRDefault="00A01317" w:rsidP="00A01317">
      <w:pPr>
        <w:pStyle w:val="ListParagraph"/>
        <w:numPr>
          <w:ilvl w:val="0"/>
          <w:numId w:val="0"/>
        </w:numPr>
        <w:ind w:left="426"/>
      </w:pPr>
    </w:p>
    <w:p w:rsidR="00087CE7" w:rsidRDefault="00087CE7" w:rsidP="005570B5">
      <w:pPr>
        <w:pStyle w:val="ListParagraph"/>
      </w:pPr>
      <w:r>
        <w:t>A loan agreement was subsequently entered into on 11 June 2014, the key aspects of which were:</w:t>
      </w:r>
    </w:p>
    <w:p w:rsidR="00087CE7" w:rsidRDefault="00087CE7" w:rsidP="00087CE7">
      <w:pPr>
        <w:pStyle w:val="ListParagraph"/>
        <w:numPr>
          <w:ilvl w:val="0"/>
          <w:numId w:val="44"/>
        </w:numPr>
      </w:pPr>
      <w:r>
        <w:t>A loan facility of £2.3m</w:t>
      </w:r>
    </w:p>
    <w:p w:rsidR="00087CE7" w:rsidRDefault="00087CE7" w:rsidP="00087CE7">
      <w:pPr>
        <w:pStyle w:val="ListParagraph"/>
        <w:numPr>
          <w:ilvl w:val="0"/>
          <w:numId w:val="44"/>
        </w:numPr>
      </w:pPr>
      <w:r>
        <w:t>36-month availability period</w:t>
      </w:r>
    </w:p>
    <w:p w:rsidR="00087CE7" w:rsidRDefault="00087CE7" w:rsidP="00087CE7">
      <w:pPr>
        <w:pStyle w:val="ListParagraph"/>
        <w:numPr>
          <w:ilvl w:val="0"/>
          <w:numId w:val="44"/>
        </w:numPr>
      </w:pPr>
      <w:r>
        <w:t>Drawdowns secured against solar panel equipment as it is purchased</w:t>
      </w:r>
    </w:p>
    <w:p w:rsidR="001C417B" w:rsidRDefault="00087CE7" w:rsidP="001C417B">
      <w:pPr>
        <w:pStyle w:val="ListParagraph"/>
        <w:numPr>
          <w:ilvl w:val="0"/>
          <w:numId w:val="44"/>
        </w:numPr>
      </w:pPr>
      <w:r>
        <w:t>Drawdowns to be repaid within an expected cycle of 6-9 months</w:t>
      </w:r>
      <w:r w:rsidR="0069786E">
        <w:t xml:space="preserve"> although the money would be available within the 36 month availability period</w:t>
      </w:r>
    </w:p>
    <w:p w:rsidR="005667E3" w:rsidRDefault="005667E3" w:rsidP="005667E3">
      <w:pPr>
        <w:pStyle w:val="ListParagraph"/>
        <w:numPr>
          <w:ilvl w:val="0"/>
          <w:numId w:val="0"/>
        </w:numPr>
        <w:ind w:left="1146"/>
      </w:pPr>
    </w:p>
    <w:p w:rsidR="000C7065" w:rsidRDefault="000C7065">
      <w:pPr>
        <w:pStyle w:val="ListParagraph"/>
        <w:ind w:left="360" w:hanging="360"/>
      </w:pPr>
      <w:r>
        <w:t xml:space="preserve">In October 2015, the Council entered into a supplemental agreement with the Hub in which it was agreed that an additional 364 days may be added to the </w:t>
      </w:r>
      <w:r w:rsidR="0069786E">
        <w:t>availability period up to June 2018.</w:t>
      </w:r>
    </w:p>
    <w:p w:rsidR="00A01317" w:rsidRDefault="00A01317" w:rsidP="00A01317">
      <w:pPr>
        <w:pStyle w:val="ListParagraph"/>
        <w:numPr>
          <w:ilvl w:val="0"/>
          <w:numId w:val="0"/>
        </w:numPr>
        <w:ind w:left="360"/>
      </w:pPr>
    </w:p>
    <w:p w:rsidR="001C417B" w:rsidRDefault="00A01317" w:rsidP="001C417B">
      <w:pPr>
        <w:pStyle w:val="ListParagraph"/>
        <w:ind w:left="360" w:hanging="360"/>
      </w:pPr>
      <w:r>
        <w:t>The Hub utilised the full facility of £2.3m, receiving funds from the Council across 11 tranches between July 2014 and October 2016. To date, tranches 1-8 have been repaid in full along with all associated interest charges. Partial repayment has al</w:t>
      </w:r>
      <w:r w:rsidR="005667E3">
        <w:t>so been made for tranches 9-11 along with all interest incurred to date.</w:t>
      </w:r>
    </w:p>
    <w:p w:rsidR="005667E3" w:rsidRDefault="005667E3" w:rsidP="005667E3">
      <w:pPr>
        <w:pStyle w:val="ListParagraph"/>
        <w:numPr>
          <w:ilvl w:val="0"/>
          <w:numId w:val="0"/>
        </w:numPr>
        <w:ind w:left="360"/>
      </w:pPr>
    </w:p>
    <w:p w:rsidR="005667E3" w:rsidRDefault="001C417B" w:rsidP="005667E3">
      <w:pPr>
        <w:pStyle w:val="ListParagraph"/>
      </w:pPr>
      <w:r>
        <w:t xml:space="preserve">It was agreed that tranches </w:t>
      </w:r>
      <w:r w:rsidR="00A01317">
        <w:t>9</w:t>
      </w:r>
      <w:r>
        <w:t>-</w:t>
      </w:r>
      <w:r w:rsidR="00A01317">
        <w:t>11</w:t>
      </w:r>
      <w:r>
        <w:t>, amounti</w:t>
      </w:r>
      <w:r w:rsidR="00697475">
        <w:t>ng to £1.3m would be repaid on 01</w:t>
      </w:r>
      <w:r>
        <w:t xml:space="preserve"> April 2018 and this is the amount for which the Hub has requested an extension to its repayment terms. All interest repayments in respect of these tranches are fully up to date</w:t>
      </w:r>
      <w:r w:rsidR="00E507F1">
        <w:t xml:space="preserve">. </w:t>
      </w:r>
      <w:r w:rsidR="00AC0E17">
        <w:t>Interest has been charged at 5% per annum an</w:t>
      </w:r>
      <w:r w:rsidR="005667E3">
        <w:t>d is repaid on a monthly basis.</w:t>
      </w:r>
    </w:p>
    <w:p w:rsidR="005667E3" w:rsidRDefault="005667E3" w:rsidP="005667E3">
      <w:pPr>
        <w:pStyle w:val="ListParagraph"/>
        <w:numPr>
          <w:ilvl w:val="0"/>
          <w:numId w:val="0"/>
        </w:numPr>
        <w:ind w:left="426"/>
      </w:pPr>
    </w:p>
    <w:p w:rsidR="00A01317" w:rsidRDefault="005667E3" w:rsidP="005667E3">
      <w:pPr>
        <w:pStyle w:val="ListParagraph"/>
      </w:pPr>
      <w:r>
        <w:t>T</w:t>
      </w:r>
      <w:r w:rsidR="00AC0E17">
        <w:t>o date, the Council has received interest from the drawdown inception dates up to and including 31 March 2018</w:t>
      </w:r>
      <w:r w:rsidR="00A01317">
        <w:t xml:space="preserve"> (or earlier in cases where the drawdown has been repaid)</w:t>
      </w:r>
      <w:r w:rsidR="00AC0E17">
        <w:t>.</w:t>
      </w:r>
    </w:p>
    <w:p w:rsidR="00A01317" w:rsidRDefault="00A01317" w:rsidP="00A01317">
      <w:pPr>
        <w:pStyle w:val="ListParagraph"/>
        <w:numPr>
          <w:ilvl w:val="0"/>
          <w:numId w:val="0"/>
        </w:numPr>
        <w:ind w:left="360"/>
      </w:pPr>
    </w:p>
    <w:p w:rsidR="001C417B" w:rsidRDefault="001C417B" w:rsidP="001C417B">
      <w:pPr>
        <w:pStyle w:val="ListParagraph"/>
        <w:ind w:left="360" w:hanging="360"/>
      </w:pPr>
      <w:r>
        <w:t>The table below summarises all drawdowns and repayments to date:</w:t>
      </w:r>
    </w:p>
    <w:p w:rsidR="001C417B" w:rsidRDefault="00A01317" w:rsidP="00AC0E17">
      <w:pPr>
        <w:pStyle w:val="ListParagraph"/>
        <w:numPr>
          <w:ilvl w:val="0"/>
          <w:numId w:val="0"/>
        </w:numPr>
        <w:ind w:left="360"/>
        <w:jc w:val="center"/>
      </w:pPr>
      <w:r w:rsidRPr="00A01317">
        <w:rPr>
          <w:noProof/>
        </w:rPr>
        <w:lastRenderedPageBreak/>
        <w:drawing>
          <wp:inline distT="0" distB="0" distL="0" distR="0" wp14:anchorId="499FBCF3" wp14:editId="10208508">
            <wp:extent cx="5904230" cy="2053003"/>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2053003"/>
                    </a:xfrm>
                    <a:prstGeom prst="rect">
                      <a:avLst/>
                    </a:prstGeom>
                    <a:noFill/>
                    <a:ln>
                      <a:noFill/>
                    </a:ln>
                  </pic:spPr>
                </pic:pic>
              </a:graphicData>
            </a:graphic>
          </wp:inline>
        </w:drawing>
      </w:r>
    </w:p>
    <w:p w:rsidR="005667E3" w:rsidRDefault="005667E3" w:rsidP="00AC0E17">
      <w:pPr>
        <w:pStyle w:val="ListParagraph"/>
        <w:numPr>
          <w:ilvl w:val="0"/>
          <w:numId w:val="0"/>
        </w:numPr>
        <w:ind w:left="360"/>
        <w:jc w:val="center"/>
      </w:pPr>
    </w:p>
    <w:p w:rsidR="00087CE7" w:rsidRDefault="00087CE7" w:rsidP="00087CE7">
      <w:pPr>
        <w:pStyle w:val="ListParagraph"/>
      </w:pPr>
      <w:r>
        <w:t>The Hub used the drawdown funds for the development of renewable energy projects in Oxford and across Oxfordshire. These projects</w:t>
      </w:r>
      <w:r w:rsidR="00083D05">
        <w:t xml:space="preserve"> have</w:t>
      </w:r>
      <w:r>
        <w:t xml:space="preserve"> </w:t>
      </w:r>
      <w:r w:rsidR="00D00B81">
        <w:t xml:space="preserve">achieved their objectives and </w:t>
      </w:r>
      <w:r>
        <w:t>contribute</w:t>
      </w:r>
      <w:r w:rsidR="00083D05">
        <w:t>d</w:t>
      </w:r>
      <w:r>
        <w:t xml:space="preserve"> to the achievement of the investment ta</w:t>
      </w:r>
      <w:r w:rsidR="00083D05">
        <w:t>r</w:t>
      </w:r>
      <w:r>
        <w:t>gets set in the EU funded, Intelligent Energy Europe (IEE) grant programme</w:t>
      </w:r>
      <w:r w:rsidR="00083D05">
        <w:t>,</w:t>
      </w:r>
      <w:r>
        <w:t xml:space="preserve"> </w:t>
      </w:r>
      <w:proofErr w:type="spellStart"/>
      <w:r>
        <w:t>OxFutures</w:t>
      </w:r>
      <w:proofErr w:type="spellEnd"/>
      <w:r>
        <w:t xml:space="preserve">. </w:t>
      </w:r>
    </w:p>
    <w:p w:rsidR="000272A8" w:rsidRDefault="000272A8" w:rsidP="000272A8">
      <w:pPr>
        <w:pStyle w:val="ListParagraph"/>
        <w:numPr>
          <w:ilvl w:val="0"/>
          <w:numId w:val="0"/>
        </w:numPr>
        <w:ind w:left="426"/>
      </w:pPr>
    </w:p>
    <w:p w:rsidR="00AC0E17" w:rsidRDefault="00AC0E17" w:rsidP="00087CE7">
      <w:pPr>
        <w:pStyle w:val="ListParagraph"/>
      </w:pPr>
      <w:r>
        <w:t xml:space="preserve">Interest on the outstanding balance of £1.3m will continue to be repaid on a monthly basis. </w:t>
      </w:r>
    </w:p>
    <w:p w:rsidR="005667E3" w:rsidRDefault="005667E3" w:rsidP="005667E3">
      <w:pPr>
        <w:pStyle w:val="ListParagraph"/>
        <w:numPr>
          <w:ilvl w:val="0"/>
          <w:numId w:val="0"/>
        </w:numPr>
        <w:ind w:left="426"/>
      </w:pPr>
    </w:p>
    <w:p w:rsidR="005667E3" w:rsidRDefault="005667E3" w:rsidP="005667E3">
      <w:pPr>
        <w:pStyle w:val="ListParagraph"/>
        <w:numPr>
          <w:ilvl w:val="0"/>
          <w:numId w:val="0"/>
        </w:numPr>
        <w:ind w:left="426"/>
      </w:pPr>
    </w:p>
    <w:p w:rsidR="002C6AC3" w:rsidRDefault="002C6AC3" w:rsidP="002C6AC3">
      <w:pPr>
        <w:rPr>
          <w:b/>
        </w:rPr>
      </w:pPr>
      <w:r>
        <w:rPr>
          <w:b/>
        </w:rPr>
        <w:t>Current Status</w:t>
      </w:r>
    </w:p>
    <w:p w:rsidR="004F0782" w:rsidRPr="004F0782" w:rsidRDefault="002C6AC3" w:rsidP="002C6AC3">
      <w:pPr>
        <w:pStyle w:val="ListParagraph"/>
        <w:rPr>
          <w:rFonts w:cs="Arial"/>
          <w:color w:val="auto"/>
          <w:lang w:eastAsia="en-US"/>
        </w:rPr>
      </w:pPr>
      <w:r>
        <w:t>The Hub has an established income stream that is generated by its current projects</w:t>
      </w:r>
      <w:r w:rsidR="004F0782">
        <w:t>.</w:t>
      </w:r>
    </w:p>
    <w:p w:rsidR="004F0782" w:rsidRPr="004F0782" w:rsidRDefault="004F0782" w:rsidP="004F0782">
      <w:pPr>
        <w:pStyle w:val="ListParagraph"/>
        <w:numPr>
          <w:ilvl w:val="0"/>
          <w:numId w:val="0"/>
        </w:numPr>
        <w:ind w:left="426"/>
        <w:rPr>
          <w:rFonts w:cs="Arial"/>
          <w:color w:val="auto"/>
          <w:lang w:eastAsia="en-US"/>
        </w:rPr>
      </w:pPr>
    </w:p>
    <w:p w:rsidR="00B961C0" w:rsidRPr="000272A8" w:rsidRDefault="004F0782" w:rsidP="002C6AC3">
      <w:pPr>
        <w:pStyle w:val="ListParagraph"/>
        <w:rPr>
          <w:rFonts w:cs="Arial"/>
          <w:color w:val="auto"/>
          <w:lang w:eastAsia="en-US"/>
        </w:rPr>
      </w:pPr>
      <w:r>
        <w:t xml:space="preserve">For the financial year of 2017/18 to date, it has a net </w:t>
      </w:r>
      <w:r w:rsidR="00D00B81">
        <w:t xml:space="preserve">profit for the year </w:t>
      </w:r>
      <w:r>
        <w:t xml:space="preserve">of £165,000 with capital </w:t>
      </w:r>
      <w:r w:rsidR="00D00B81">
        <w:t xml:space="preserve">assets to the value of £3.3m.  If the Low Carbon Hub </w:t>
      </w:r>
      <w:r w:rsidR="001C417B">
        <w:t xml:space="preserve">is </w:t>
      </w:r>
      <w:r w:rsidR="00D00B81">
        <w:t>to continue to invest in green energy schemes</w:t>
      </w:r>
      <w:r w:rsidR="001C417B">
        <w:t>,</w:t>
      </w:r>
      <w:r w:rsidR="00D00B81">
        <w:t xml:space="preserve"> it is crucial that they maintain cashflow.  This loan is pivotal to the cashflow of the Hub.</w:t>
      </w:r>
    </w:p>
    <w:p w:rsidR="000272A8" w:rsidRPr="000272A8" w:rsidRDefault="000272A8" w:rsidP="000272A8">
      <w:pPr>
        <w:pStyle w:val="ListParagraph"/>
        <w:numPr>
          <w:ilvl w:val="0"/>
          <w:numId w:val="0"/>
        </w:numPr>
        <w:ind w:left="426"/>
        <w:rPr>
          <w:rFonts w:cs="Arial"/>
          <w:color w:val="auto"/>
          <w:lang w:eastAsia="en-US"/>
        </w:rPr>
      </w:pPr>
    </w:p>
    <w:p w:rsidR="004F0782" w:rsidRDefault="004F0782" w:rsidP="002C6AC3">
      <w:pPr>
        <w:pStyle w:val="ListParagraph"/>
        <w:rPr>
          <w:rFonts w:cs="Arial"/>
          <w:color w:val="auto"/>
          <w:lang w:eastAsia="en-US"/>
        </w:rPr>
      </w:pPr>
      <w:r w:rsidRPr="004B2C92">
        <w:rPr>
          <w:rFonts w:cs="Arial"/>
          <w:color w:val="auto"/>
          <w:lang w:eastAsia="en-US"/>
        </w:rPr>
        <w:t xml:space="preserve">Many of the assets currently held by the Hub have been financed by drawdowns accessed through the loan facility provided by the Council. </w:t>
      </w:r>
    </w:p>
    <w:p w:rsidR="000272A8" w:rsidRPr="000272A8" w:rsidRDefault="000272A8" w:rsidP="000272A8">
      <w:pPr>
        <w:pStyle w:val="ListParagraph"/>
        <w:numPr>
          <w:ilvl w:val="0"/>
          <w:numId w:val="0"/>
        </w:numPr>
        <w:ind w:left="426"/>
        <w:rPr>
          <w:rFonts w:cs="Arial"/>
          <w:color w:val="auto"/>
          <w:lang w:eastAsia="en-US"/>
        </w:rPr>
      </w:pPr>
    </w:p>
    <w:p w:rsidR="004B2C92" w:rsidRDefault="004B2C92" w:rsidP="002C6AC3">
      <w:pPr>
        <w:pStyle w:val="ListParagraph"/>
        <w:rPr>
          <w:rFonts w:cs="Arial"/>
          <w:color w:val="auto"/>
          <w:lang w:eastAsia="en-US"/>
        </w:rPr>
      </w:pPr>
      <w:r>
        <w:rPr>
          <w:rFonts w:cs="Arial"/>
          <w:color w:val="auto"/>
          <w:lang w:eastAsia="en-US"/>
        </w:rPr>
        <w:t xml:space="preserve">The Hub intends to deploy further capital over the course of 2018/19 and 2019/20 to fund its renewable energy projects. </w:t>
      </w:r>
    </w:p>
    <w:p w:rsidR="000272A8" w:rsidRPr="000272A8" w:rsidRDefault="000272A8" w:rsidP="000272A8">
      <w:pPr>
        <w:pStyle w:val="ListParagraph"/>
        <w:numPr>
          <w:ilvl w:val="0"/>
          <w:numId w:val="0"/>
        </w:numPr>
        <w:ind w:left="426"/>
        <w:rPr>
          <w:rFonts w:cs="Arial"/>
          <w:color w:val="auto"/>
          <w:lang w:eastAsia="en-US"/>
        </w:rPr>
      </w:pPr>
    </w:p>
    <w:p w:rsidR="004B2C92" w:rsidRDefault="004B2C92" w:rsidP="002C6AC3">
      <w:pPr>
        <w:pStyle w:val="ListParagraph"/>
        <w:rPr>
          <w:rFonts w:cs="Arial"/>
          <w:color w:val="auto"/>
          <w:lang w:eastAsia="en-US"/>
        </w:rPr>
      </w:pPr>
      <w:r>
        <w:rPr>
          <w:rFonts w:cs="Arial"/>
          <w:color w:val="auto"/>
          <w:lang w:eastAsia="en-US"/>
        </w:rPr>
        <w:t xml:space="preserve">The Hub has met its financial obligations under its current agreement with the Council, having repaid </w:t>
      </w:r>
      <w:r w:rsidR="008F0093">
        <w:rPr>
          <w:rFonts w:cs="Arial"/>
          <w:color w:val="auto"/>
          <w:lang w:eastAsia="en-US"/>
        </w:rPr>
        <w:t>£</w:t>
      </w:r>
      <w:r w:rsidR="000272A8">
        <w:rPr>
          <w:rFonts w:cs="Arial"/>
          <w:color w:val="auto"/>
          <w:lang w:eastAsia="en-US"/>
        </w:rPr>
        <w:t>1m</w:t>
      </w:r>
      <w:r w:rsidR="00440CE7">
        <w:rPr>
          <w:rFonts w:cs="Arial"/>
          <w:color w:val="auto"/>
          <w:lang w:eastAsia="en-US"/>
        </w:rPr>
        <w:t xml:space="preserve"> of the </w:t>
      </w:r>
      <w:r>
        <w:rPr>
          <w:rFonts w:cs="Arial"/>
          <w:color w:val="auto"/>
          <w:lang w:eastAsia="en-US"/>
        </w:rPr>
        <w:t>£</w:t>
      </w:r>
      <w:r w:rsidR="000272A8">
        <w:rPr>
          <w:rFonts w:cs="Arial"/>
          <w:color w:val="auto"/>
          <w:lang w:eastAsia="en-US"/>
        </w:rPr>
        <w:t>2</w:t>
      </w:r>
      <w:r w:rsidR="008F0093">
        <w:rPr>
          <w:rFonts w:cs="Arial"/>
          <w:color w:val="auto"/>
          <w:lang w:eastAsia="en-US"/>
        </w:rPr>
        <w:t>.</w:t>
      </w:r>
      <w:r w:rsidR="000272A8">
        <w:rPr>
          <w:rFonts w:cs="Arial"/>
          <w:color w:val="auto"/>
          <w:lang w:eastAsia="en-US"/>
        </w:rPr>
        <w:t>3</w:t>
      </w:r>
      <w:r>
        <w:rPr>
          <w:rFonts w:cs="Arial"/>
          <w:color w:val="auto"/>
          <w:lang w:eastAsia="en-US"/>
        </w:rPr>
        <w:t xml:space="preserve">m </w:t>
      </w:r>
      <w:r w:rsidR="00440CE7">
        <w:rPr>
          <w:rFonts w:cs="Arial"/>
          <w:color w:val="auto"/>
          <w:lang w:eastAsia="en-US"/>
        </w:rPr>
        <w:t xml:space="preserve">taken out </w:t>
      </w:r>
      <w:r>
        <w:rPr>
          <w:rFonts w:cs="Arial"/>
          <w:color w:val="auto"/>
          <w:lang w:eastAsia="en-US"/>
        </w:rPr>
        <w:t xml:space="preserve">as well as paying all interest charges incurred to date. </w:t>
      </w:r>
    </w:p>
    <w:p w:rsidR="000272A8" w:rsidRPr="000272A8" w:rsidRDefault="000272A8" w:rsidP="000272A8">
      <w:pPr>
        <w:pStyle w:val="ListParagraph"/>
        <w:numPr>
          <w:ilvl w:val="0"/>
          <w:numId w:val="0"/>
        </w:numPr>
        <w:ind w:left="426"/>
        <w:rPr>
          <w:rFonts w:cs="Arial"/>
          <w:color w:val="auto"/>
          <w:lang w:eastAsia="en-US"/>
        </w:rPr>
      </w:pPr>
    </w:p>
    <w:p w:rsidR="004B2C92" w:rsidRDefault="004B2C92" w:rsidP="002C6AC3">
      <w:pPr>
        <w:pStyle w:val="ListParagraph"/>
        <w:rPr>
          <w:rFonts w:cs="Arial"/>
          <w:color w:val="auto"/>
          <w:lang w:eastAsia="en-US"/>
        </w:rPr>
      </w:pPr>
      <w:r>
        <w:rPr>
          <w:rFonts w:cs="Arial"/>
          <w:color w:val="auto"/>
          <w:lang w:eastAsia="en-US"/>
        </w:rPr>
        <w:t>The Hub will continue to pay interest on a monthly basis at a rate of 5% per annum against the outstanding</w:t>
      </w:r>
      <w:r w:rsidR="00A06927">
        <w:rPr>
          <w:rFonts w:cs="Arial"/>
          <w:color w:val="auto"/>
          <w:lang w:eastAsia="en-US"/>
        </w:rPr>
        <w:t xml:space="preserve"> balance until the loan is repaid in full</w:t>
      </w:r>
      <w:r>
        <w:rPr>
          <w:rFonts w:cs="Arial"/>
          <w:color w:val="auto"/>
          <w:lang w:eastAsia="en-US"/>
        </w:rPr>
        <w:t xml:space="preserve">. </w:t>
      </w:r>
    </w:p>
    <w:p w:rsidR="000272A8" w:rsidRDefault="000272A8" w:rsidP="000272A8">
      <w:pPr>
        <w:pStyle w:val="ListParagraph"/>
        <w:numPr>
          <w:ilvl w:val="0"/>
          <w:numId w:val="0"/>
        </w:numPr>
        <w:ind w:left="426"/>
        <w:rPr>
          <w:rFonts w:cs="Arial"/>
          <w:color w:val="auto"/>
          <w:lang w:eastAsia="en-US"/>
        </w:rPr>
      </w:pPr>
    </w:p>
    <w:p w:rsidR="004B2C92" w:rsidRDefault="004B2C92" w:rsidP="002C6AC3">
      <w:pPr>
        <w:pStyle w:val="ListParagraph"/>
        <w:rPr>
          <w:rFonts w:cs="Arial"/>
          <w:color w:val="auto"/>
          <w:lang w:eastAsia="en-US"/>
        </w:rPr>
      </w:pPr>
      <w:r>
        <w:rPr>
          <w:rFonts w:cs="Arial"/>
          <w:color w:val="auto"/>
          <w:lang w:eastAsia="en-US"/>
        </w:rPr>
        <w:t xml:space="preserve">The Hub will be issuing a new share offer in May 2018 </w:t>
      </w:r>
      <w:r w:rsidR="00B42674">
        <w:rPr>
          <w:rFonts w:cs="Arial"/>
          <w:color w:val="auto"/>
          <w:lang w:eastAsia="en-US"/>
        </w:rPr>
        <w:t xml:space="preserve">and </w:t>
      </w:r>
      <w:r w:rsidR="00A06927">
        <w:rPr>
          <w:rFonts w:cs="Arial"/>
          <w:color w:val="auto"/>
          <w:lang w:eastAsia="en-US"/>
        </w:rPr>
        <w:t xml:space="preserve">intends to use income generated by this to </w:t>
      </w:r>
      <w:r w:rsidR="00B42674">
        <w:rPr>
          <w:rFonts w:cs="Arial"/>
          <w:color w:val="auto"/>
          <w:lang w:eastAsia="en-US"/>
        </w:rPr>
        <w:t xml:space="preserve">repay </w:t>
      </w:r>
      <w:r w:rsidR="001765DC">
        <w:rPr>
          <w:rFonts w:cs="Arial"/>
          <w:color w:val="auto"/>
          <w:lang w:eastAsia="en-US"/>
        </w:rPr>
        <w:t>a proportion or the full amount of the loan on 28 September with the remainder being repaid in full by 29 March 2019</w:t>
      </w:r>
      <w:r w:rsidR="00B42674">
        <w:rPr>
          <w:rFonts w:cs="Arial"/>
          <w:color w:val="auto"/>
          <w:lang w:eastAsia="en-US"/>
        </w:rPr>
        <w:t xml:space="preserve">. </w:t>
      </w:r>
    </w:p>
    <w:p w:rsidR="00007FB5" w:rsidRDefault="00007FB5" w:rsidP="00007FB5">
      <w:pPr>
        <w:pStyle w:val="ListParagraph"/>
        <w:numPr>
          <w:ilvl w:val="0"/>
          <w:numId w:val="0"/>
        </w:numPr>
        <w:ind w:left="426"/>
        <w:rPr>
          <w:rFonts w:cs="Arial"/>
          <w:color w:val="auto"/>
          <w:lang w:eastAsia="en-US"/>
        </w:rPr>
      </w:pPr>
    </w:p>
    <w:p w:rsidR="00007FB5" w:rsidRDefault="00007FB5" w:rsidP="00007FB5">
      <w:pPr>
        <w:rPr>
          <w:rFonts w:cs="Arial"/>
          <w:b/>
          <w:color w:val="auto"/>
          <w:lang w:eastAsia="en-US"/>
        </w:rPr>
      </w:pPr>
      <w:r>
        <w:rPr>
          <w:rFonts w:cs="Arial"/>
          <w:b/>
          <w:color w:val="auto"/>
          <w:lang w:eastAsia="en-US"/>
        </w:rPr>
        <w:t>An Ethical Investment</w:t>
      </w:r>
    </w:p>
    <w:p w:rsidR="005667E3" w:rsidRDefault="005667E3" w:rsidP="00007FB5">
      <w:pPr>
        <w:rPr>
          <w:rFonts w:cs="Arial"/>
          <w:b/>
          <w:color w:val="auto"/>
          <w:lang w:eastAsia="en-US"/>
        </w:rPr>
      </w:pPr>
    </w:p>
    <w:p w:rsidR="00007FB5" w:rsidRDefault="00007FB5" w:rsidP="00334B88">
      <w:pPr>
        <w:pStyle w:val="ListParagraph"/>
        <w:rPr>
          <w:rFonts w:cs="Arial"/>
          <w:color w:val="auto"/>
          <w:lang w:eastAsia="en-US"/>
        </w:rPr>
      </w:pPr>
      <w:r w:rsidRPr="00007FB5">
        <w:rPr>
          <w:rFonts w:cs="Arial"/>
          <w:color w:val="auto"/>
          <w:lang w:eastAsia="en-US"/>
        </w:rPr>
        <w:t>T</w:t>
      </w:r>
      <w:r w:rsidR="00F15990" w:rsidRPr="00007FB5">
        <w:rPr>
          <w:rFonts w:cs="Arial"/>
          <w:color w:val="auto"/>
          <w:lang w:eastAsia="en-US"/>
        </w:rPr>
        <w:t xml:space="preserve">he Council has had a long-standing commitment </w:t>
      </w:r>
      <w:r w:rsidRPr="00007FB5">
        <w:rPr>
          <w:rFonts w:cs="Arial"/>
          <w:color w:val="auto"/>
          <w:lang w:eastAsia="en-US"/>
        </w:rPr>
        <w:t>towards engendering a “greener” Oxford which is further emphasised by its coordination of the Oxford Strategic Partnership (OSP) and the Low Carbon Oxford network;</w:t>
      </w:r>
      <w:r>
        <w:rPr>
          <w:rFonts w:cs="Arial"/>
          <w:color w:val="auto"/>
          <w:lang w:eastAsia="en-US"/>
        </w:rPr>
        <w:t xml:space="preserve"> the</w:t>
      </w:r>
      <w:r w:rsidRPr="00007FB5">
        <w:rPr>
          <w:rFonts w:cs="Arial"/>
          <w:color w:val="auto"/>
          <w:lang w:eastAsia="en-US"/>
        </w:rPr>
        <w:t xml:space="preserve"> Low Carbon Hub is a not-for-profit social e</w:t>
      </w:r>
      <w:r>
        <w:rPr>
          <w:rFonts w:cs="Arial"/>
          <w:color w:val="auto"/>
          <w:lang w:eastAsia="en-US"/>
        </w:rPr>
        <w:t>nterprise that seeks to scale up</w:t>
      </w:r>
      <w:r w:rsidRPr="00007FB5">
        <w:rPr>
          <w:rFonts w:cs="Arial"/>
          <w:color w:val="auto"/>
          <w:lang w:eastAsia="en-US"/>
        </w:rPr>
        <w:t xml:space="preserve"> community-owned energy projects across Oxfordshire, including the district of Oxford itself and is a fellow member of the Low Carbon Oxford network.</w:t>
      </w:r>
      <w:r>
        <w:rPr>
          <w:rFonts w:cs="Arial"/>
          <w:color w:val="auto"/>
          <w:lang w:eastAsia="en-US"/>
        </w:rPr>
        <w:t xml:space="preserve"> Therefore, by agreeing to extend the terms of the loan facility, the Council would be </w:t>
      </w:r>
      <w:r w:rsidR="00AE2667">
        <w:rPr>
          <w:rFonts w:cs="Arial"/>
          <w:color w:val="auto"/>
          <w:lang w:eastAsia="en-US"/>
        </w:rPr>
        <w:t>using its resources to support its vision of a “greener” Oxford.</w:t>
      </w:r>
    </w:p>
    <w:p w:rsidR="005667E3" w:rsidRPr="00334B88" w:rsidRDefault="005667E3" w:rsidP="005667E3">
      <w:pPr>
        <w:pStyle w:val="ListParagraph"/>
        <w:numPr>
          <w:ilvl w:val="0"/>
          <w:numId w:val="0"/>
        </w:numPr>
        <w:ind w:left="426"/>
        <w:rPr>
          <w:rFonts w:cs="Arial"/>
          <w:color w:val="auto"/>
          <w:lang w:eastAsia="en-US"/>
        </w:rPr>
      </w:pPr>
    </w:p>
    <w:p w:rsidR="00F15990" w:rsidRPr="00334B88" w:rsidRDefault="00334B88" w:rsidP="00334B88">
      <w:pPr>
        <w:pStyle w:val="ListParagraph"/>
        <w:spacing w:after="20"/>
        <w:rPr>
          <w:rFonts w:cs="Arial"/>
          <w:b/>
          <w:color w:val="auto"/>
          <w:lang w:eastAsia="en-US"/>
        </w:rPr>
      </w:pPr>
      <w:r w:rsidRPr="00334B88">
        <w:rPr>
          <w:rFonts w:cs="Arial"/>
          <w:color w:val="auto"/>
          <w:lang w:eastAsia="en-US"/>
        </w:rPr>
        <w:t xml:space="preserve">Furthermore, the Council’s Treasury Management strategy </w:t>
      </w:r>
      <w:r w:rsidR="00AE2667">
        <w:rPr>
          <w:rFonts w:cs="Arial"/>
          <w:color w:val="auto"/>
          <w:lang w:eastAsia="en-US"/>
        </w:rPr>
        <w:t>includes a clear commitment not to invest</w:t>
      </w:r>
      <w:r w:rsidRPr="00334B88">
        <w:rPr>
          <w:rFonts w:cs="Arial"/>
          <w:color w:val="auto"/>
          <w:lang w:eastAsia="en-US"/>
        </w:rPr>
        <w:t xml:space="preserve"> </w:t>
      </w:r>
      <w:r w:rsidRPr="00334B88">
        <w:rPr>
          <w:sz w:val="23"/>
          <w:szCs w:val="23"/>
        </w:rPr>
        <w:t>directly</w:t>
      </w:r>
      <w:r w:rsidR="00AE2667">
        <w:rPr>
          <w:sz w:val="23"/>
          <w:szCs w:val="23"/>
        </w:rPr>
        <w:t>, amongst other things, in</w:t>
      </w:r>
      <w:r w:rsidRPr="00334B88">
        <w:rPr>
          <w:sz w:val="23"/>
          <w:szCs w:val="23"/>
        </w:rPr>
        <w:t xml:space="preserve"> </w:t>
      </w:r>
      <w:r>
        <w:rPr>
          <w:sz w:val="23"/>
          <w:szCs w:val="23"/>
        </w:rPr>
        <w:t>e</w:t>
      </w:r>
      <w:r w:rsidRPr="00334B88">
        <w:rPr>
          <w:sz w:val="23"/>
          <w:szCs w:val="23"/>
        </w:rPr>
        <w:t>nvironmentally harmful activities</w:t>
      </w:r>
      <w:r w:rsidR="00AE2667">
        <w:rPr>
          <w:sz w:val="23"/>
          <w:szCs w:val="23"/>
        </w:rPr>
        <w:t xml:space="preserve">; this investment would achieve the opposite and in fact place significant investment in an environmentally positive project. </w:t>
      </w:r>
    </w:p>
    <w:p w:rsidR="00334B88" w:rsidRDefault="00334B88" w:rsidP="00334B88">
      <w:pPr>
        <w:pStyle w:val="ListParagraph"/>
        <w:numPr>
          <w:ilvl w:val="0"/>
          <w:numId w:val="0"/>
        </w:numPr>
        <w:spacing w:after="20"/>
        <w:ind w:left="426"/>
        <w:rPr>
          <w:rFonts w:cs="Arial"/>
          <w:b/>
          <w:color w:val="auto"/>
          <w:lang w:eastAsia="en-US"/>
        </w:rPr>
      </w:pPr>
    </w:p>
    <w:p w:rsidR="00AE2667" w:rsidRDefault="00AE2667" w:rsidP="00334B88">
      <w:pPr>
        <w:pStyle w:val="ListParagraph"/>
        <w:numPr>
          <w:ilvl w:val="0"/>
          <w:numId w:val="0"/>
        </w:numPr>
        <w:spacing w:after="20"/>
        <w:ind w:left="426"/>
        <w:rPr>
          <w:rFonts w:cs="Arial"/>
          <w:b/>
          <w:color w:val="auto"/>
          <w:lang w:eastAsia="en-US"/>
        </w:rPr>
      </w:pPr>
    </w:p>
    <w:p w:rsidR="00B42674" w:rsidRDefault="00B42674" w:rsidP="00B42674">
      <w:pPr>
        <w:rPr>
          <w:rFonts w:cs="Arial"/>
          <w:b/>
          <w:color w:val="auto"/>
          <w:lang w:eastAsia="en-US"/>
        </w:rPr>
      </w:pPr>
      <w:r>
        <w:rPr>
          <w:rFonts w:cs="Arial"/>
          <w:b/>
          <w:color w:val="auto"/>
          <w:lang w:eastAsia="en-US"/>
        </w:rPr>
        <w:t>Financial Implications</w:t>
      </w:r>
    </w:p>
    <w:p w:rsidR="00B42674" w:rsidRDefault="001765DC" w:rsidP="002C6AC3">
      <w:pPr>
        <w:pStyle w:val="ListParagraph"/>
        <w:rPr>
          <w:rFonts w:cs="Arial"/>
          <w:color w:val="auto"/>
          <w:lang w:eastAsia="en-US"/>
        </w:rPr>
      </w:pPr>
      <w:r>
        <w:rPr>
          <w:rFonts w:cs="Arial"/>
          <w:color w:val="auto"/>
          <w:lang w:eastAsia="en-US"/>
        </w:rPr>
        <w:t>The loan will be made for a period of 364 days for revenue purposes</w:t>
      </w:r>
      <w:r w:rsidR="00B42674" w:rsidRPr="00B42674">
        <w:rPr>
          <w:rFonts w:cs="Arial"/>
          <w:color w:val="auto"/>
          <w:lang w:eastAsia="en-US"/>
        </w:rPr>
        <w:t>.</w:t>
      </w:r>
      <w:r w:rsidR="005D7C14">
        <w:rPr>
          <w:rFonts w:cs="Arial"/>
          <w:color w:val="auto"/>
          <w:lang w:eastAsia="en-US"/>
        </w:rPr>
        <w:t xml:space="preserve"> The Council’s Constitution requires loans of this nature to organisations which are not wholly owned companies of the Council, to be approved by City Executive Board (para 18.23). </w:t>
      </w:r>
    </w:p>
    <w:p w:rsidR="000272A8" w:rsidRDefault="000272A8" w:rsidP="000272A8">
      <w:pPr>
        <w:pStyle w:val="ListParagraph"/>
        <w:numPr>
          <w:ilvl w:val="0"/>
          <w:numId w:val="0"/>
        </w:numPr>
        <w:ind w:left="426"/>
        <w:rPr>
          <w:rFonts w:cs="Arial"/>
          <w:color w:val="auto"/>
          <w:lang w:eastAsia="en-US"/>
        </w:rPr>
      </w:pPr>
    </w:p>
    <w:p w:rsidR="00B42674" w:rsidRDefault="005D7C14" w:rsidP="002C6AC3">
      <w:pPr>
        <w:pStyle w:val="ListParagraph"/>
        <w:rPr>
          <w:rFonts w:cs="Arial"/>
          <w:color w:val="auto"/>
          <w:lang w:eastAsia="en-US"/>
        </w:rPr>
      </w:pPr>
      <w:r>
        <w:rPr>
          <w:rFonts w:cs="Arial"/>
          <w:color w:val="auto"/>
          <w:lang w:eastAsia="en-US"/>
        </w:rPr>
        <w:t>The loan will be financed by normal revenue cash balances with i</w:t>
      </w:r>
      <w:r w:rsidR="00B42674" w:rsidRPr="00B42674">
        <w:rPr>
          <w:rFonts w:cs="Arial"/>
          <w:color w:val="auto"/>
          <w:lang w:eastAsia="en-US"/>
        </w:rPr>
        <w:t xml:space="preserve">nterest </w:t>
      </w:r>
      <w:r>
        <w:rPr>
          <w:rFonts w:cs="Arial"/>
          <w:color w:val="auto"/>
          <w:lang w:eastAsia="en-US"/>
        </w:rPr>
        <w:t xml:space="preserve">continuing to be </w:t>
      </w:r>
      <w:r w:rsidR="00B42674" w:rsidRPr="00B42674">
        <w:rPr>
          <w:rFonts w:cs="Arial"/>
          <w:color w:val="auto"/>
          <w:lang w:eastAsia="en-US"/>
        </w:rPr>
        <w:t>received by the Council on a monthly basis</w:t>
      </w:r>
      <w:r>
        <w:rPr>
          <w:rFonts w:cs="Arial"/>
          <w:color w:val="auto"/>
          <w:lang w:eastAsia="en-US"/>
        </w:rPr>
        <w:t xml:space="preserve"> at a rate of 5%pa</w:t>
      </w:r>
      <w:r w:rsidR="00B42674" w:rsidRPr="00B42674">
        <w:rPr>
          <w:rFonts w:cs="Arial"/>
          <w:color w:val="auto"/>
          <w:lang w:eastAsia="en-US"/>
        </w:rPr>
        <w:t xml:space="preserve"> until the loan is repaid in full. </w:t>
      </w:r>
    </w:p>
    <w:p w:rsidR="000272A8" w:rsidRPr="000272A8" w:rsidRDefault="000272A8" w:rsidP="000272A8">
      <w:pPr>
        <w:pStyle w:val="ListParagraph"/>
        <w:numPr>
          <w:ilvl w:val="0"/>
          <w:numId w:val="0"/>
        </w:numPr>
        <w:ind w:left="426"/>
        <w:rPr>
          <w:rFonts w:cs="Arial"/>
          <w:color w:val="auto"/>
          <w:lang w:eastAsia="en-US"/>
        </w:rPr>
      </w:pPr>
    </w:p>
    <w:p w:rsidR="005D7C14" w:rsidRDefault="005D7C14" w:rsidP="002C6AC3">
      <w:pPr>
        <w:pStyle w:val="ListParagraph"/>
        <w:rPr>
          <w:rFonts w:cs="Arial"/>
          <w:color w:val="auto"/>
          <w:lang w:eastAsia="en-US"/>
        </w:rPr>
      </w:pPr>
      <w:r>
        <w:rPr>
          <w:rFonts w:cs="Arial"/>
          <w:color w:val="auto"/>
          <w:lang w:eastAsia="en-US"/>
        </w:rPr>
        <w:t xml:space="preserve">Low Carbon Hub will offer security of the loan against existing solar panel site installations and associated revenue streams. </w:t>
      </w:r>
      <w:r w:rsidR="0069786E">
        <w:rPr>
          <w:rFonts w:cs="Arial"/>
          <w:color w:val="auto"/>
          <w:lang w:eastAsia="en-US"/>
        </w:rPr>
        <w:t xml:space="preserve">The Council has undertaken due diligence on the financial standing of Low Carbon Hub and can confirm that it has sufficient asset cover in the event of default.  </w:t>
      </w:r>
    </w:p>
    <w:p w:rsidR="00B42674" w:rsidRPr="00B42674" w:rsidRDefault="00B42674" w:rsidP="00B42674">
      <w:pPr>
        <w:rPr>
          <w:b/>
          <w:lang w:eastAsia="en-US"/>
        </w:rPr>
      </w:pPr>
    </w:p>
    <w:p w:rsidR="00B42674" w:rsidRDefault="00B42674" w:rsidP="00B42674">
      <w:pPr>
        <w:rPr>
          <w:b/>
          <w:lang w:eastAsia="en-US"/>
        </w:rPr>
      </w:pPr>
      <w:r w:rsidRPr="00B42674">
        <w:rPr>
          <w:b/>
          <w:lang w:eastAsia="en-US"/>
        </w:rPr>
        <w:t>Legal Implications</w:t>
      </w:r>
    </w:p>
    <w:p w:rsidR="00B42674" w:rsidRPr="000272A8" w:rsidRDefault="00B42674" w:rsidP="002C6AC3">
      <w:pPr>
        <w:pStyle w:val="ListParagraph"/>
        <w:rPr>
          <w:rFonts w:cs="Arial"/>
          <w:color w:val="auto"/>
          <w:lang w:eastAsia="en-US"/>
        </w:rPr>
      </w:pPr>
      <w:r>
        <w:rPr>
          <w:rFonts w:cs="Arial"/>
          <w:color w:val="auto"/>
          <w:lang w:eastAsia="en-US"/>
        </w:rPr>
        <w:t xml:space="preserve">The Localism Act 2011 provided the Council with the authorisation for the loan facility as the Act </w:t>
      </w:r>
      <w:r w:rsidR="00A06927">
        <w:rPr>
          <w:rFonts w:cs="Arial"/>
          <w:color w:val="auto"/>
          <w:lang w:eastAsia="en-US"/>
        </w:rPr>
        <w:t>grants</w:t>
      </w:r>
      <w:r>
        <w:rPr>
          <w:rFonts w:cs="Arial"/>
          <w:color w:val="auto"/>
          <w:lang w:eastAsia="en-US"/>
        </w:rPr>
        <w:t xml:space="preserve"> Councils the general power of competence to </w:t>
      </w:r>
      <w:r w:rsidRPr="00B42674">
        <w:rPr>
          <w:rFonts w:cs="Arial"/>
          <w:i/>
          <w:color w:val="auto"/>
          <w:lang w:eastAsia="en-US"/>
        </w:rPr>
        <w:t>“do anything that indivi</w:t>
      </w:r>
      <w:r>
        <w:rPr>
          <w:rFonts w:cs="Arial"/>
          <w:i/>
          <w:color w:val="auto"/>
          <w:lang w:eastAsia="en-US"/>
        </w:rPr>
        <w:t>d</w:t>
      </w:r>
      <w:r w:rsidRPr="00B42674">
        <w:rPr>
          <w:rFonts w:cs="Arial"/>
          <w:i/>
          <w:color w:val="auto"/>
          <w:lang w:eastAsia="en-US"/>
        </w:rPr>
        <w:t>uals generally may do”.</w:t>
      </w:r>
    </w:p>
    <w:p w:rsidR="000272A8" w:rsidRPr="00907A98" w:rsidRDefault="000272A8" w:rsidP="000272A8">
      <w:pPr>
        <w:pStyle w:val="ListParagraph"/>
        <w:numPr>
          <w:ilvl w:val="0"/>
          <w:numId w:val="0"/>
        </w:numPr>
        <w:ind w:left="426"/>
        <w:rPr>
          <w:rFonts w:cs="Arial"/>
          <w:color w:val="auto"/>
          <w:lang w:eastAsia="en-US"/>
        </w:rPr>
      </w:pPr>
    </w:p>
    <w:p w:rsidR="00907A98" w:rsidRPr="000272A8" w:rsidRDefault="00907A98" w:rsidP="002C6AC3">
      <w:pPr>
        <w:pStyle w:val="ListParagraph"/>
        <w:rPr>
          <w:rFonts w:cs="Arial"/>
          <w:color w:val="auto"/>
          <w:lang w:eastAsia="en-US"/>
        </w:rPr>
      </w:pPr>
      <w:r>
        <w:rPr>
          <w:rFonts w:cs="Arial"/>
          <w:color w:val="auto"/>
          <w:lang w:eastAsia="en-US"/>
        </w:rPr>
        <w:lastRenderedPageBreak/>
        <w:t>The key provisions of the extension to the lo</w:t>
      </w:r>
      <w:r w:rsidR="00A06927">
        <w:rPr>
          <w:rFonts w:cs="Arial"/>
          <w:color w:val="auto"/>
          <w:lang w:eastAsia="en-US"/>
        </w:rPr>
        <w:t>a</w:t>
      </w:r>
      <w:r>
        <w:rPr>
          <w:rFonts w:cs="Arial"/>
          <w:color w:val="auto"/>
          <w:lang w:eastAsia="en-US"/>
        </w:rPr>
        <w:t>n agreement are those which seek to provide the Council with adequate security to protect its funds</w:t>
      </w:r>
      <w:r w:rsidR="00F06D28">
        <w:rPr>
          <w:rFonts w:cs="Arial"/>
          <w:color w:val="auto"/>
          <w:lang w:eastAsia="en-US"/>
        </w:rPr>
        <w:t xml:space="preserve">. The £1.3m will be secured against the Hub’s existing </w:t>
      </w:r>
      <w:r w:rsidR="00F06D28">
        <w:t xml:space="preserve">photovoltaic (PV) systems. </w:t>
      </w:r>
    </w:p>
    <w:p w:rsidR="000272A8" w:rsidRPr="000272A8" w:rsidRDefault="000272A8" w:rsidP="000272A8">
      <w:pPr>
        <w:pStyle w:val="ListParagraph"/>
        <w:numPr>
          <w:ilvl w:val="0"/>
          <w:numId w:val="0"/>
        </w:numPr>
        <w:ind w:left="426"/>
        <w:rPr>
          <w:rFonts w:cs="Arial"/>
          <w:color w:val="auto"/>
          <w:lang w:eastAsia="en-US"/>
        </w:rPr>
      </w:pPr>
    </w:p>
    <w:p w:rsidR="00B42674" w:rsidRDefault="00B42674" w:rsidP="00B42674">
      <w:pPr>
        <w:rPr>
          <w:rFonts w:cs="Arial"/>
          <w:b/>
          <w:color w:val="auto"/>
          <w:lang w:eastAsia="en-US"/>
        </w:rPr>
      </w:pPr>
      <w:r>
        <w:rPr>
          <w:rFonts w:cs="Arial"/>
          <w:b/>
          <w:color w:val="auto"/>
          <w:lang w:eastAsia="en-US"/>
        </w:rPr>
        <w:t>Risk</w:t>
      </w:r>
    </w:p>
    <w:p w:rsidR="00B42674" w:rsidRPr="00B42674" w:rsidRDefault="005D7C14" w:rsidP="00B42674">
      <w:pPr>
        <w:pStyle w:val="ListParagraph"/>
        <w:rPr>
          <w:rFonts w:cs="Arial"/>
          <w:color w:val="auto"/>
          <w:lang w:eastAsia="en-US"/>
        </w:rPr>
      </w:pPr>
      <w:r>
        <w:rPr>
          <w:rFonts w:cs="Arial"/>
          <w:color w:val="auto"/>
          <w:lang w:eastAsia="en-US"/>
        </w:rPr>
        <w:t xml:space="preserve">The risks of agreeing to this </w:t>
      </w:r>
      <w:r w:rsidR="003C5845">
        <w:rPr>
          <w:rFonts w:cs="Arial"/>
          <w:color w:val="auto"/>
          <w:lang w:eastAsia="en-US"/>
        </w:rPr>
        <w:t>loan extension are detailed in A</w:t>
      </w:r>
      <w:r>
        <w:rPr>
          <w:rFonts w:cs="Arial"/>
          <w:color w:val="auto"/>
          <w:lang w:eastAsia="en-US"/>
        </w:rPr>
        <w:t>ppendix 1</w:t>
      </w:r>
    </w:p>
    <w:p w:rsidR="004B2C92" w:rsidRPr="004B2C92" w:rsidRDefault="004B2C92" w:rsidP="004B2C92">
      <w:pPr>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42674" w:rsidP="00A46E98">
            <w:r>
              <w:t>Angela Turner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42674" w:rsidP="00A46E98">
            <w:r>
              <w:t>Technical Officer for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B42674">
            <w:r w:rsidRPr="00670327">
              <w:t>01865 252</w:t>
            </w:r>
            <w:r w:rsidR="00B42674">
              <w:t>739</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697475" w:rsidP="00B42674">
            <w:pPr>
              <w:rPr>
                <w:rStyle w:val="Hyperlink"/>
                <w:color w:val="auto"/>
              </w:rPr>
            </w:pPr>
            <w:hyperlink r:id="rId10" w:history="1">
              <w:r w:rsidR="00B42674">
                <w:rPr>
                  <w:rStyle w:val="Hyperlink"/>
                  <w:color w:val="auto"/>
                </w:rPr>
                <w:t>aturner2@oxford.gov.uk</w:t>
              </w:r>
            </w:hyperlink>
            <w:r w:rsidR="00B42674">
              <w:rPr>
                <w:rStyle w:val="Hyperlink"/>
                <w:color w:val="auto"/>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DE" w:rsidRDefault="000C05DE" w:rsidP="004A6D2F">
      <w:r>
        <w:separator/>
      </w:r>
    </w:p>
  </w:endnote>
  <w:endnote w:type="continuationSeparator" w:id="0">
    <w:p w:rsidR="000C05DE" w:rsidRDefault="000C05D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DE" w:rsidRDefault="000C05DE" w:rsidP="004A6D2F">
      <w:r>
        <w:separator/>
      </w:r>
    </w:p>
  </w:footnote>
  <w:footnote w:type="continuationSeparator" w:id="0">
    <w:p w:rsidR="000C05DE" w:rsidRDefault="000C05D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14:anchorId="64DB6363" wp14:editId="4F80C24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5243E7"/>
    <w:multiLevelType w:val="hybridMultilevel"/>
    <w:tmpl w:val="92FC69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1E293501"/>
    <w:multiLevelType w:val="hybridMultilevel"/>
    <w:tmpl w:val="3DE4D60A"/>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C94F54"/>
    <w:multiLevelType w:val="multilevel"/>
    <w:tmpl w:val="223C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9464A3"/>
    <w:multiLevelType w:val="multilevel"/>
    <w:tmpl w:val="290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365C6"/>
    <w:multiLevelType w:val="multilevel"/>
    <w:tmpl w:val="E67CE66C"/>
    <w:numStyleLink w:val="StyleNumberedLeft0cmHanging075cm"/>
  </w:abstractNum>
  <w:abstractNum w:abstractNumId="44">
    <w:nsid w:val="7D6D135E"/>
    <w:multiLevelType w:val="hybridMultilevel"/>
    <w:tmpl w:val="A02645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39"/>
  </w:num>
  <w:num w:numId="3">
    <w:abstractNumId w:val="27"/>
  </w:num>
  <w:num w:numId="4">
    <w:abstractNumId w:val="20"/>
  </w:num>
  <w:num w:numId="5">
    <w:abstractNumId w:val="35"/>
  </w:num>
  <w:num w:numId="6">
    <w:abstractNumId w:val="40"/>
  </w:num>
  <w:num w:numId="7">
    <w:abstractNumId w:val="25"/>
  </w:num>
  <w:num w:numId="8">
    <w:abstractNumId w:val="23"/>
  </w:num>
  <w:num w:numId="9">
    <w:abstractNumId w:val="13"/>
  </w:num>
  <w:num w:numId="10">
    <w:abstractNumId w:val="17"/>
  </w:num>
  <w:num w:numId="11">
    <w:abstractNumId w:val="31"/>
  </w:num>
  <w:num w:numId="12">
    <w:abstractNumId w:val="28"/>
  </w:num>
  <w:num w:numId="13">
    <w:abstractNumId w:val="10"/>
  </w:num>
  <w:num w:numId="14">
    <w:abstractNumId w:val="43"/>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8"/>
  </w:num>
  <w:num w:numId="16">
    <w:abstractNumId w:val="11"/>
  </w:num>
  <w:num w:numId="17">
    <w:abstractNumId w:val="34"/>
  </w:num>
  <w:num w:numId="18">
    <w:abstractNumId w:val="12"/>
  </w:num>
  <w:num w:numId="19">
    <w:abstractNumId w:val="36"/>
  </w:num>
  <w:num w:numId="20">
    <w:abstractNumId w:val="19"/>
  </w:num>
  <w:num w:numId="21">
    <w:abstractNumId w:val="24"/>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42"/>
  </w:num>
  <w:num w:numId="36">
    <w:abstractNumId w:val="21"/>
  </w:num>
  <w:num w:numId="37">
    <w:abstractNumId w:val="2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6"/>
  </w:num>
  <w:num w:numId="41">
    <w:abstractNumId w:val="41"/>
  </w:num>
  <w:num w:numId="42">
    <w:abstractNumId w:val="26"/>
  </w:num>
  <w:num w:numId="43">
    <w:abstractNumId w:val="30"/>
  </w:num>
  <w:num w:numId="44">
    <w:abstractNumId w:val="15"/>
  </w:num>
  <w:num w:numId="45">
    <w:abstractNumId w:val="29"/>
  </w:num>
  <w:num w:numId="4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FB5"/>
    <w:rsid w:val="000117D4"/>
    <w:rsid w:val="000272A8"/>
    <w:rsid w:val="000314D7"/>
    <w:rsid w:val="00045F8B"/>
    <w:rsid w:val="00046D2B"/>
    <w:rsid w:val="00056263"/>
    <w:rsid w:val="00061EFC"/>
    <w:rsid w:val="00064D8A"/>
    <w:rsid w:val="00064F82"/>
    <w:rsid w:val="00066510"/>
    <w:rsid w:val="00073D12"/>
    <w:rsid w:val="00077523"/>
    <w:rsid w:val="00083D05"/>
    <w:rsid w:val="00087CE7"/>
    <w:rsid w:val="000C05DE"/>
    <w:rsid w:val="000C089F"/>
    <w:rsid w:val="000C3928"/>
    <w:rsid w:val="000C5E8E"/>
    <w:rsid w:val="000C7065"/>
    <w:rsid w:val="000F4751"/>
    <w:rsid w:val="00104106"/>
    <w:rsid w:val="0010524C"/>
    <w:rsid w:val="00111FB1"/>
    <w:rsid w:val="00113418"/>
    <w:rsid w:val="001356F1"/>
    <w:rsid w:val="00136994"/>
    <w:rsid w:val="0014128E"/>
    <w:rsid w:val="00151888"/>
    <w:rsid w:val="00170A2D"/>
    <w:rsid w:val="001765DC"/>
    <w:rsid w:val="001808BC"/>
    <w:rsid w:val="00182B81"/>
    <w:rsid w:val="0018619D"/>
    <w:rsid w:val="001A011E"/>
    <w:rsid w:val="001A066A"/>
    <w:rsid w:val="001A13E6"/>
    <w:rsid w:val="001A49EE"/>
    <w:rsid w:val="001A5731"/>
    <w:rsid w:val="001B42C3"/>
    <w:rsid w:val="001C417B"/>
    <w:rsid w:val="001C5D5E"/>
    <w:rsid w:val="001D678D"/>
    <w:rsid w:val="001E03F8"/>
    <w:rsid w:val="001E1678"/>
    <w:rsid w:val="001E3376"/>
    <w:rsid w:val="002069B3"/>
    <w:rsid w:val="002329CF"/>
    <w:rsid w:val="00232F5B"/>
    <w:rsid w:val="00247C29"/>
    <w:rsid w:val="002526A9"/>
    <w:rsid w:val="00260467"/>
    <w:rsid w:val="00263EA3"/>
    <w:rsid w:val="00284F85"/>
    <w:rsid w:val="00290915"/>
    <w:rsid w:val="002A22E2"/>
    <w:rsid w:val="002C64F7"/>
    <w:rsid w:val="002C6AC3"/>
    <w:rsid w:val="002D0E2D"/>
    <w:rsid w:val="002F41F2"/>
    <w:rsid w:val="00301BF3"/>
    <w:rsid w:val="0030208D"/>
    <w:rsid w:val="00323418"/>
    <w:rsid w:val="00334B88"/>
    <w:rsid w:val="003357BF"/>
    <w:rsid w:val="00364FAD"/>
    <w:rsid w:val="0036738F"/>
    <w:rsid w:val="0036759C"/>
    <w:rsid w:val="00367AE5"/>
    <w:rsid w:val="00367D71"/>
    <w:rsid w:val="0038150A"/>
    <w:rsid w:val="003B6E75"/>
    <w:rsid w:val="003B7DA1"/>
    <w:rsid w:val="003C5845"/>
    <w:rsid w:val="003D0379"/>
    <w:rsid w:val="003D2574"/>
    <w:rsid w:val="003D4C59"/>
    <w:rsid w:val="003F4267"/>
    <w:rsid w:val="00404032"/>
    <w:rsid w:val="0040736F"/>
    <w:rsid w:val="00412C1F"/>
    <w:rsid w:val="00413FD8"/>
    <w:rsid w:val="00416529"/>
    <w:rsid w:val="00421CB2"/>
    <w:rsid w:val="004268B9"/>
    <w:rsid w:val="00433B96"/>
    <w:rsid w:val="00440CE7"/>
    <w:rsid w:val="004440F1"/>
    <w:rsid w:val="004456DD"/>
    <w:rsid w:val="00446CDF"/>
    <w:rsid w:val="004521B7"/>
    <w:rsid w:val="00462AB5"/>
    <w:rsid w:val="00465EAF"/>
    <w:rsid w:val="004738C5"/>
    <w:rsid w:val="00491046"/>
    <w:rsid w:val="004A2AC7"/>
    <w:rsid w:val="004A6D2F"/>
    <w:rsid w:val="004B2C92"/>
    <w:rsid w:val="004C2887"/>
    <w:rsid w:val="004D2626"/>
    <w:rsid w:val="004D2DBD"/>
    <w:rsid w:val="004D3904"/>
    <w:rsid w:val="004D6E26"/>
    <w:rsid w:val="004D77D3"/>
    <w:rsid w:val="004E2959"/>
    <w:rsid w:val="004E4603"/>
    <w:rsid w:val="004F0782"/>
    <w:rsid w:val="004F20EF"/>
    <w:rsid w:val="0050321C"/>
    <w:rsid w:val="0054712D"/>
    <w:rsid w:val="00547EF6"/>
    <w:rsid w:val="005570B5"/>
    <w:rsid w:val="005667E3"/>
    <w:rsid w:val="00567E18"/>
    <w:rsid w:val="00575F5F"/>
    <w:rsid w:val="00581805"/>
    <w:rsid w:val="00585F76"/>
    <w:rsid w:val="00592EB7"/>
    <w:rsid w:val="005A34E4"/>
    <w:rsid w:val="005B17F2"/>
    <w:rsid w:val="005B7FB0"/>
    <w:rsid w:val="005C30AE"/>
    <w:rsid w:val="005C35A5"/>
    <w:rsid w:val="005C3914"/>
    <w:rsid w:val="005C577C"/>
    <w:rsid w:val="005D0621"/>
    <w:rsid w:val="005D1E27"/>
    <w:rsid w:val="005D2A3E"/>
    <w:rsid w:val="005D7C14"/>
    <w:rsid w:val="005E022E"/>
    <w:rsid w:val="005E5215"/>
    <w:rsid w:val="005F7F7E"/>
    <w:rsid w:val="00614693"/>
    <w:rsid w:val="00622663"/>
    <w:rsid w:val="00623C2F"/>
    <w:rsid w:val="00633578"/>
    <w:rsid w:val="00637068"/>
    <w:rsid w:val="00650811"/>
    <w:rsid w:val="00661D3E"/>
    <w:rsid w:val="00670327"/>
    <w:rsid w:val="00692627"/>
    <w:rsid w:val="006969E7"/>
    <w:rsid w:val="00697475"/>
    <w:rsid w:val="0069786E"/>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5B61"/>
    <w:rsid w:val="007B0C2C"/>
    <w:rsid w:val="007B278E"/>
    <w:rsid w:val="007C5C23"/>
    <w:rsid w:val="007E2A26"/>
    <w:rsid w:val="007F2348"/>
    <w:rsid w:val="00803F07"/>
    <w:rsid w:val="0080749A"/>
    <w:rsid w:val="00821FB8"/>
    <w:rsid w:val="00822ACD"/>
    <w:rsid w:val="00855C66"/>
    <w:rsid w:val="00856451"/>
    <w:rsid w:val="00871EE4"/>
    <w:rsid w:val="008B293F"/>
    <w:rsid w:val="008B7371"/>
    <w:rsid w:val="008D3DDB"/>
    <w:rsid w:val="008F0093"/>
    <w:rsid w:val="008F573F"/>
    <w:rsid w:val="009034EC"/>
    <w:rsid w:val="00907A98"/>
    <w:rsid w:val="0093067A"/>
    <w:rsid w:val="00941C60"/>
    <w:rsid w:val="00966D42"/>
    <w:rsid w:val="00971689"/>
    <w:rsid w:val="00973E90"/>
    <w:rsid w:val="00975B07"/>
    <w:rsid w:val="00980B4A"/>
    <w:rsid w:val="009E3D0A"/>
    <w:rsid w:val="009E51FC"/>
    <w:rsid w:val="009F1D28"/>
    <w:rsid w:val="009F7618"/>
    <w:rsid w:val="00A01317"/>
    <w:rsid w:val="00A04D23"/>
    <w:rsid w:val="00A06766"/>
    <w:rsid w:val="00A06927"/>
    <w:rsid w:val="00A13765"/>
    <w:rsid w:val="00A21B12"/>
    <w:rsid w:val="00A23F80"/>
    <w:rsid w:val="00A4247B"/>
    <w:rsid w:val="00A46E98"/>
    <w:rsid w:val="00A6352B"/>
    <w:rsid w:val="00A701B5"/>
    <w:rsid w:val="00A714BB"/>
    <w:rsid w:val="00A92D8F"/>
    <w:rsid w:val="00AB2988"/>
    <w:rsid w:val="00AB7999"/>
    <w:rsid w:val="00AC0E17"/>
    <w:rsid w:val="00AD3292"/>
    <w:rsid w:val="00AE2667"/>
    <w:rsid w:val="00AE7AF0"/>
    <w:rsid w:val="00B42674"/>
    <w:rsid w:val="00B500CA"/>
    <w:rsid w:val="00B73B30"/>
    <w:rsid w:val="00B86314"/>
    <w:rsid w:val="00B961C0"/>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D57C7"/>
    <w:rsid w:val="00CE4C87"/>
    <w:rsid w:val="00CE544A"/>
    <w:rsid w:val="00D00B81"/>
    <w:rsid w:val="00D11E1C"/>
    <w:rsid w:val="00D160B0"/>
    <w:rsid w:val="00D17F94"/>
    <w:rsid w:val="00D223FC"/>
    <w:rsid w:val="00D26D1E"/>
    <w:rsid w:val="00D474CF"/>
    <w:rsid w:val="00D5547E"/>
    <w:rsid w:val="00D56387"/>
    <w:rsid w:val="00D56D5C"/>
    <w:rsid w:val="00D71D8D"/>
    <w:rsid w:val="00D869A1"/>
    <w:rsid w:val="00DA413F"/>
    <w:rsid w:val="00DA4584"/>
    <w:rsid w:val="00DA614B"/>
    <w:rsid w:val="00DC3060"/>
    <w:rsid w:val="00DE0FB2"/>
    <w:rsid w:val="00DF093E"/>
    <w:rsid w:val="00E01F42"/>
    <w:rsid w:val="00E206D6"/>
    <w:rsid w:val="00E3366E"/>
    <w:rsid w:val="00E46A74"/>
    <w:rsid w:val="00E507F1"/>
    <w:rsid w:val="00E52086"/>
    <w:rsid w:val="00E543A6"/>
    <w:rsid w:val="00E60479"/>
    <w:rsid w:val="00E61D73"/>
    <w:rsid w:val="00E73684"/>
    <w:rsid w:val="00E818D6"/>
    <w:rsid w:val="00E87F7A"/>
    <w:rsid w:val="00E96BD7"/>
    <w:rsid w:val="00EA0DB1"/>
    <w:rsid w:val="00EA0EE9"/>
    <w:rsid w:val="00EB7706"/>
    <w:rsid w:val="00ED52CA"/>
    <w:rsid w:val="00ED5860"/>
    <w:rsid w:val="00EE35C9"/>
    <w:rsid w:val="00F05ECA"/>
    <w:rsid w:val="00F06D28"/>
    <w:rsid w:val="00F15990"/>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character" w:styleId="Strong">
    <w:name w:val="Strong"/>
    <w:basedOn w:val="DefaultParagraphFont"/>
    <w:uiPriority w:val="22"/>
    <w:qFormat/>
    <w:rsid w:val="00007FB5"/>
    <w:rPr>
      <w:b/>
      <w:bCs/>
    </w:rPr>
  </w:style>
  <w:style w:type="paragraph" w:customStyle="1" w:styleId="Default">
    <w:name w:val="Default"/>
    <w:rsid w:val="00334B88"/>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character" w:styleId="Strong">
    <w:name w:val="Strong"/>
    <w:basedOn w:val="DefaultParagraphFont"/>
    <w:uiPriority w:val="22"/>
    <w:qFormat/>
    <w:rsid w:val="00007FB5"/>
    <w:rPr>
      <w:b/>
      <w:bCs/>
    </w:rPr>
  </w:style>
  <w:style w:type="paragraph" w:customStyle="1" w:styleId="Default">
    <w:name w:val="Default"/>
    <w:rsid w:val="00334B8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856657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64514778">
      <w:bodyDiv w:val="1"/>
      <w:marLeft w:val="0"/>
      <w:marRight w:val="0"/>
      <w:marTop w:val="0"/>
      <w:marBottom w:val="0"/>
      <w:divBdr>
        <w:top w:val="none" w:sz="0" w:space="0" w:color="auto"/>
        <w:left w:val="none" w:sz="0" w:space="0" w:color="auto"/>
        <w:bottom w:val="none" w:sz="0" w:space="0" w:color="auto"/>
        <w:right w:val="none" w:sz="0" w:space="0" w:color="auto"/>
      </w:divBdr>
      <w:divsChild>
        <w:div w:id="1332635198">
          <w:marLeft w:val="0"/>
          <w:marRight w:val="0"/>
          <w:marTop w:val="0"/>
          <w:marBottom w:val="0"/>
          <w:divBdr>
            <w:top w:val="none" w:sz="0" w:space="0" w:color="auto"/>
            <w:left w:val="none" w:sz="0" w:space="0" w:color="auto"/>
            <w:bottom w:val="none" w:sz="0" w:space="0" w:color="auto"/>
            <w:right w:val="none" w:sz="0" w:space="0" w:color="auto"/>
          </w:divBdr>
          <w:divsChild>
            <w:div w:id="10473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F343-5A8A-41B8-A382-2A04D490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AB6FA63E</Template>
  <TotalTime>11</TotalTime>
  <Pages>5</Pages>
  <Words>1146</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6</cp:revision>
  <cp:lastPrinted>2015-07-03T13:50:00Z</cp:lastPrinted>
  <dcterms:created xsi:type="dcterms:W3CDTF">2018-04-13T08:53:00Z</dcterms:created>
  <dcterms:modified xsi:type="dcterms:W3CDTF">2018-04-26T13:40:00Z</dcterms:modified>
</cp:coreProperties>
</file>